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A425" w14:textId="77777777" w:rsidR="00852BD4" w:rsidRPr="00852BD4" w:rsidRDefault="00852BD4" w:rsidP="00852BD4">
      <w:pPr>
        <w:pStyle w:val="Potsikko"/>
        <w:rPr>
          <w:sz w:val="32"/>
          <w:szCs w:val="32"/>
        </w:rPr>
      </w:pPr>
      <w:r w:rsidRPr="00852BD4">
        <w:rPr>
          <w:sz w:val="32"/>
          <w:szCs w:val="32"/>
        </w:rPr>
        <w:t>Vierasesineiden huomioiminen magneettitutkimuksissa</w:t>
      </w:r>
    </w:p>
    <w:p w14:paraId="69DECFEB" w14:textId="77777777" w:rsidR="00852BD4" w:rsidRDefault="00852BD4" w:rsidP="00852BD4"/>
    <w:p w14:paraId="23DB5838" w14:textId="77777777" w:rsidR="00852BD4" w:rsidRPr="00F60B5D" w:rsidRDefault="00852BD4" w:rsidP="00852BD4">
      <w:r w:rsidRPr="0088631F">
        <w:t>Potilaille asennetut proteesit, i</w:t>
      </w:r>
      <w:r>
        <w:t>mplantit tai muut hoitovälineet</w:t>
      </w:r>
      <w:r w:rsidRPr="0088631F">
        <w:t xml:space="preserve"> on huomioitava minkä tahansa kehonosan magneettikuvauksessa. Useimmat vierasesineet eivät </w:t>
      </w:r>
      <w:r>
        <w:t>kokonaan estä</w:t>
      </w:r>
      <w:r w:rsidRPr="0088631F">
        <w:t xml:space="preserve"> magneettitutkimuksen suorittamis</w:t>
      </w:r>
      <w:r>
        <w:t>ta</w:t>
      </w:r>
      <w:r w:rsidRPr="0088631F">
        <w:t xml:space="preserve">, mutta ne saattavat edellyttää kuvausarvojen muokkaamista tai vaihtoehtoisen kuvaustekniikan käyttämistä. </w:t>
      </w:r>
    </w:p>
    <w:p w14:paraId="30D41AC3" w14:textId="77777777" w:rsidR="00852BD4" w:rsidRDefault="00852BD4" w:rsidP="00852BD4">
      <w:pPr>
        <w:spacing w:line="120" w:lineRule="auto"/>
      </w:pPr>
    </w:p>
    <w:p w14:paraId="54136A14" w14:textId="77777777" w:rsidR="00852BD4" w:rsidRDefault="00852BD4" w:rsidP="00852BD4">
      <w:r>
        <w:t>T</w:t>
      </w:r>
      <w:r w:rsidRPr="0088631F">
        <w:t xml:space="preserve">ieto potilaan vierasesineistä </w:t>
      </w:r>
      <w:r>
        <w:t>tulee olla</w:t>
      </w:r>
      <w:r w:rsidRPr="0088631F">
        <w:t xml:space="preserve"> selkeästi saatavilla. </w:t>
      </w:r>
      <w:r>
        <w:t>Vierasesineestä on oltava maininta röntgenlähetteessä ja se on kirjattava Esko-potilastietojärjestelmään potilaan riskitietoihin (tarkka merkki ja malli sekä asennus- ja mahdollinen poistoajankohta).</w:t>
      </w:r>
    </w:p>
    <w:p w14:paraId="07D966CC" w14:textId="77777777" w:rsidR="00852BD4" w:rsidRPr="005B4B8F" w:rsidRDefault="00852BD4" w:rsidP="00852BD4">
      <w:pPr>
        <w:spacing w:line="120" w:lineRule="auto"/>
      </w:pPr>
    </w:p>
    <w:p w14:paraId="3A49584E" w14:textId="77777777" w:rsidR="00852BD4" w:rsidRPr="00852BD4" w:rsidRDefault="00852BD4" w:rsidP="00852BD4">
      <w:pPr>
        <w:pStyle w:val="Otsikko20"/>
        <w:rPr>
          <w:color w:val="auto"/>
        </w:rPr>
      </w:pPr>
      <w:r w:rsidRPr="00852BD4">
        <w:rPr>
          <w:color w:val="auto"/>
        </w:rPr>
        <w:t>Aktiiviset vierasesineet</w:t>
      </w:r>
    </w:p>
    <w:p w14:paraId="2ACD8B05" w14:textId="77777777" w:rsidR="00852BD4" w:rsidRPr="0088631F" w:rsidRDefault="00852BD4" w:rsidP="00852BD4">
      <w:r w:rsidRPr="00C044DE">
        <w:t>Aktiiviset vierasesineet sisältävät elektronisia laitteita, jotka ovat välittömässä kontaktissa potilaan kehoon. Magneettikuvaus voi aiheuttaa elektroniikan toimintahäiriöitä, laitteen johtimien kuumenemista tai joissakin tapauksissa myös vierasesineen liikkumisen kehossa.</w:t>
      </w:r>
    </w:p>
    <w:p w14:paraId="2A5AFAC3" w14:textId="77777777" w:rsidR="00852BD4" w:rsidRPr="003B5A6D" w:rsidRDefault="00852BD4" w:rsidP="00852BD4">
      <w:pPr>
        <w:spacing w:line="120" w:lineRule="auto"/>
      </w:pPr>
    </w:p>
    <w:p w14:paraId="7F52CA4D" w14:textId="77777777" w:rsidR="00852BD4" w:rsidRPr="00392341" w:rsidRDefault="00852BD4" w:rsidP="00852BD4">
      <w:pPr>
        <w:pStyle w:val="Luettelokappale"/>
        <w:numPr>
          <w:ilvl w:val="0"/>
          <w:numId w:val="25"/>
        </w:numPr>
        <w:rPr>
          <w:b/>
        </w:rPr>
      </w:pPr>
      <w:r w:rsidRPr="00392341">
        <w:rPr>
          <w:b/>
        </w:rPr>
        <w:t xml:space="preserve">Sydämentahdistin </w:t>
      </w:r>
    </w:p>
    <w:p w14:paraId="2627E668" w14:textId="1ABC2867" w:rsidR="00852BD4" w:rsidRPr="004174AE" w:rsidRDefault="00852BD4" w:rsidP="00852BD4">
      <w:pPr>
        <w:pStyle w:val="Luettelokappale"/>
        <w:rPr>
          <w:rStyle w:val="Hyperlinkki"/>
        </w:rPr>
      </w:pPr>
      <w:r w:rsidRPr="003B5A6D">
        <w:t>Katso</w:t>
      </w:r>
      <w:r>
        <w:t xml:space="preserve"> kuvattavuuden selvittämiseen ja ajanvaraukseen liittyvä</w:t>
      </w:r>
      <w:r w:rsidRPr="003B5A6D">
        <w:t xml:space="preserve"> erillinen</w:t>
      </w:r>
      <w:r>
        <w:t xml:space="preserve"> </w:t>
      </w:r>
      <w:r w:rsidR="004174AE">
        <w:fldChar w:fldCharType="begin"/>
      </w:r>
      <w:r w:rsidR="004174AE">
        <w:instrText>HYPERLINK "https://pohde.sharepoint.com/:w:/r/sites/Sivustoresurssit/_layouts/15/Doc.aspx?sourcedoc=%7B73133016-61c2-40d1-ac0d-daafc51dd997%7D&amp;action=edit&amp;wdPid=66764186"</w:instrText>
      </w:r>
      <w:r w:rsidR="004174AE">
        <w:fldChar w:fldCharType="separate"/>
      </w:r>
      <w:r w:rsidRPr="004174AE">
        <w:rPr>
          <w:rStyle w:val="Hyperlinkki"/>
        </w:rPr>
        <w:t>tahdistinpotilaan magneettikuvausohje</w:t>
      </w:r>
    </w:p>
    <w:p w14:paraId="63BEF620" w14:textId="300883EB" w:rsidR="00852BD4" w:rsidRDefault="004174AE" w:rsidP="00852BD4">
      <w:r>
        <w:fldChar w:fldCharType="end"/>
      </w:r>
    </w:p>
    <w:p w14:paraId="2FF51B5E" w14:textId="77777777" w:rsidR="00852BD4" w:rsidRPr="00392341" w:rsidRDefault="00852BD4" w:rsidP="00852BD4">
      <w:pPr>
        <w:pStyle w:val="Luettelokappale"/>
        <w:numPr>
          <w:ilvl w:val="0"/>
          <w:numId w:val="25"/>
        </w:numPr>
        <w:rPr>
          <w:b/>
        </w:rPr>
      </w:pPr>
      <w:r w:rsidRPr="00392341">
        <w:rPr>
          <w:b/>
        </w:rPr>
        <w:t>Lääkeainepumppu</w:t>
      </w:r>
    </w:p>
    <w:p w14:paraId="6927B4A5" w14:textId="77777777" w:rsidR="00852BD4" w:rsidRPr="0088631F" w:rsidRDefault="00852BD4" w:rsidP="00852BD4">
      <w:pPr>
        <w:pStyle w:val="Luettelokappale"/>
      </w:pPr>
      <w:r>
        <w:t>Pääsääntöisesti kaikki l</w:t>
      </w:r>
      <w:r w:rsidRPr="0088631F">
        <w:t xml:space="preserve">ääkeainepumput ja niiden metalliset neulat on poistettava ennen tutkimusta. </w:t>
      </w:r>
      <w:r>
        <w:t>P</w:t>
      </w:r>
      <w:r w:rsidRPr="0088631F">
        <w:t>umppuun liit</w:t>
      </w:r>
      <w:r>
        <w:t>tyvät muut mittalaitteet</w:t>
      </w:r>
      <w:r w:rsidRPr="0088631F">
        <w:t xml:space="preserve">, esim. </w:t>
      </w:r>
      <w:r w:rsidRPr="008C31A8">
        <w:rPr>
          <w:i/>
        </w:rPr>
        <w:t xml:space="preserve">insuliinipumpun glukoosimittari, </w:t>
      </w:r>
      <w:r w:rsidRPr="00D46B1F">
        <w:t>on myös poistettava</w:t>
      </w:r>
      <w:r w:rsidRPr="0088631F">
        <w:t>. Potil</w:t>
      </w:r>
      <w:r>
        <w:t>a</w:t>
      </w:r>
      <w:r w:rsidRPr="0088631F">
        <w:t>alle on hyvä kertoa tästä etukäteen. Lääkeainepumpusta laitetaan maininta röntgenlähetteeseen Huomioitavaa</w:t>
      </w:r>
      <w:r>
        <w:t>–</w:t>
      </w:r>
      <w:r w:rsidRPr="0088631F">
        <w:t>kenttään. Eräät kehonsisäiset lääkeainepumput voidaan kuvata</w:t>
      </w:r>
      <w:r>
        <w:t xml:space="preserve"> vain</w:t>
      </w:r>
      <w:r w:rsidRPr="0088631F">
        <w:t xml:space="preserve"> laitevalmistajan ohjeita tarkasti noudattaen.</w:t>
      </w:r>
    </w:p>
    <w:p w14:paraId="334A136E" w14:textId="77777777" w:rsidR="00852BD4" w:rsidRPr="0088631F" w:rsidRDefault="00852BD4" w:rsidP="00852BD4"/>
    <w:p w14:paraId="3BD8359C" w14:textId="77777777" w:rsidR="00852BD4" w:rsidRPr="00392341" w:rsidRDefault="00852BD4" w:rsidP="00852BD4">
      <w:pPr>
        <w:pStyle w:val="Luettelokappale"/>
        <w:numPr>
          <w:ilvl w:val="0"/>
          <w:numId w:val="25"/>
        </w:numPr>
        <w:rPr>
          <w:b/>
        </w:rPr>
      </w:pPr>
      <w:proofErr w:type="spellStart"/>
      <w:r w:rsidRPr="00392341">
        <w:rPr>
          <w:b/>
        </w:rPr>
        <w:t>Neurostimulaattori</w:t>
      </w:r>
      <w:proofErr w:type="spellEnd"/>
      <w:r>
        <w:rPr>
          <w:b/>
        </w:rPr>
        <w:t>, neuromodulaattori</w:t>
      </w:r>
    </w:p>
    <w:p w14:paraId="708D628F" w14:textId="77777777" w:rsidR="00852BD4" w:rsidRPr="0088631F" w:rsidRDefault="00852BD4" w:rsidP="00852BD4">
      <w:pPr>
        <w:pStyle w:val="Luettelokappale"/>
      </w:pPr>
      <w:r w:rsidRPr="0088631F">
        <w:t xml:space="preserve">Suurin osa </w:t>
      </w:r>
      <w:proofErr w:type="spellStart"/>
      <w:r w:rsidRPr="0088631F">
        <w:t>neurostimulaattoreista</w:t>
      </w:r>
      <w:proofErr w:type="spellEnd"/>
      <w:r w:rsidRPr="0088631F">
        <w:t xml:space="preserve"> ei ole este magneettitutkimuksen tekemiselle, mutta </w:t>
      </w:r>
      <w:proofErr w:type="spellStart"/>
      <w:r w:rsidRPr="0088631F">
        <w:t>stimulaattorin</w:t>
      </w:r>
      <w:proofErr w:type="spellEnd"/>
      <w:r w:rsidRPr="0088631F">
        <w:t xml:space="preserve"> tarkka merkki ja malli, johdinkokoonpano sekä asennusaika on oltava tiedossa. Mikäli </w:t>
      </w:r>
      <w:proofErr w:type="spellStart"/>
      <w:r w:rsidRPr="0088631F">
        <w:t>stimulaattori</w:t>
      </w:r>
      <w:proofErr w:type="spellEnd"/>
      <w:r w:rsidRPr="0088631F">
        <w:t xml:space="preserve"> ei ole toiminnassa, se saattaa </w:t>
      </w:r>
      <w:proofErr w:type="gramStart"/>
      <w:r w:rsidRPr="0088631F">
        <w:t>mallista riippuen</w:t>
      </w:r>
      <w:proofErr w:type="gramEnd"/>
      <w:r w:rsidRPr="0088631F">
        <w:t xml:space="preserve"> edellyttää samanlaista valmistelua kuin toimivakin </w:t>
      </w:r>
      <w:proofErr w:type="spellStart"/>
      <w:r w:rsidRPr="0088631F">
        <w:t>stimulaattori</w:t>
      </w:r>
      <w:proofErr w:type="spellEnd"/>
      <w:r w:rsidRPr="0088631F">
        <w:t xml:space="preserve">. </w:t>
      </w:r>
      <w:r>
        <w:t>O</w:t>
      </w:r>
      <w:r w:rsidRPr="00EC7651">
        <w:t>ta yhteys magneettitutkimusten kontraindikaationumeroon p.</w:t>
      </w:r>
      <w:r>
        <w:t xml:space="preserve"> 5</w:t>
      </w:r>
      <w:r w:rsidRPr="00EC7651">
        <w:t>2497.</w:t>
      </w:r>
    </w:p>
    <w:p w14:paraId="7B0AED53" w14:textId="77777777" w:rsidR="00852BD4" w:rsidRPr="0088631F" w:rsidRDefault="00852BD4" w:rsidP="00852BD4">
      <w:pPr>
        <w:spacing w:line="120" w:lineRule="auto"/>
      </w:pPr>
    </w:p>
    <w:p w14:paraId="6D3F8036" w14:textId="77777777" w:rsidR="00852BD4" w:rsidRDefault="00852BD4" w:rsidP="00852BD4">
      <w:pPr>
        <w:pStyle w:val="Luettelokappale"/>
      </w:pPr>
      <w:r w:rsidRPr="0088631F">
        <w:t>Magneettiajanvarauksen yhteydessä potilaalle varataan</w:t>
      </w:r>
      <w:r>
        <w:t xml:space="preserve"> tarvittaessa</w:t>
      </w:r>
      <w:r w:rsidRPr="0088631F">
        <w:t xml:space="preserve"> aika</w:t>
      </w:r>
      <w:r>
        <w:t xml:space="preserve"> </w:t>
      </w:r>
      <w:proofErr w:type="spellStart"/>
      <w:r w:rsidRPr="0088631F">
        <w:t>stimulaattorin</w:t>
      </w:r>
      <w:proofErr w:type="spellEnd"/>
      <w:r w:rsidRPr="0088631F">
        <w:t xml:space="preserve"> säätämistä ja toiminnan tarkastamista varten ennen ja jälkeen mri-tutkimuksen</w:t>
      </w:r>
      <w:r>
        <w:t xml:space="preserve"> (neurokirurgian</w:t>
      </w:r>
      <w:r w:rsidRPr="0088631F">
        <w:t xml:space="preserve"> </w:t>
      </w:r>
      <w:r>
        <w:t xml:space="preserve">poliklinikka p. 52951, vatsakeskus p. 54124). Röntgenlähetteessä mainitaan </w:t>
      </w:r>
      <w:proofErr w:type="spellStart"/>
      <w:r>
        <w:t>stimulaattorin</w:t>
      </w:r>
      <w:proofErr w:type="spellEnd"/>
      <w:r>
        <w:t xml:space="preserve"> olemassaolo ja ohjelmoinnin ajanvaraukset.</w:t>
      </w:r>
      <w:r w:rsidRPr="00EC7651">
        <w:t xml:space="preserve"> </w:t>
      </w:r>
    </w:p>
    <w:p w14:paraId="38268995" w14:textId="77777777" w:rsidR="00852BD4" w:rsidRDefault="00852BD4" w:rsidP="00852BD4">
      <w:pPr>
        <w:spacing w:line="120" w:lineRule="auto"/>
      </w:pPr>
    </w:p>
    <w:p w14:paraId="3978FD9C" w14:textId="77777777" w:rsidR="00852BD4" w:rsidRDefault="00852BD4" w:rsidP="00852BD4">
      <w:pPr>
        <w:pStyle w:val="Luettelokappale"/>
      </w:pPr>
      <w:r w:rsidRPr="0088631F">
        <w:t xml:space="preserve">Mikäli potilaalla on kehossaan pelkät </w:t>
      </w:r>
      <w:proofErr w:type="spellStart"/>
      <w:r w:rsidRPr="0088631F">
        <w:t>stimulaattorin</w:t>
      </w:r>
      <w:proofErr w:type="spellEnd"/>
      <w:r w:rsidRPr="0088631F">
        <w:t xml:space="preserve"> johtimet, kuvattavuus arvioidaan tapauskohtaisesti. Ennen ajanvarausta E</w:t>
      </w:r>
      <w:r>
        <w:t>sko</w:t>
      </w:r>
      <w:r w:rsidRPr="0088631F">
        <w:t>on tehdään konsultaatiopyyntö radiologille. Mikäli tutkimus päätetään suorittaa, johtimet mainitaan röntgenlähetteen Huomioitavaa</w:t>
      </w:r>
      <w:r>
        <w:t>–</w:t>
      </w:r>
      <w:r w:rsidRPr="0088631F">
        <w:t>kentässä.</w:t>
      </w:r>
    </w:p>
    <w:p w14:paraId="71A61366" w14:textId="77777777" w:rsidR="00852BD4" w:rsidRDefault="00852BD4" w:rsidP="00852BD4">
      <w:pPr>
        <w:pStyle w:val="Luettelokappale"/>
      </w:pPr>
    </w:p>
    <w:p w14:paraId="0B432612" w14:textId="77777777" w:rsidR="00852BD4" w:rsidRDefault="00852BD4" w:rsidP="00852BD4">
      <w:pPr>
        <w:pStyle w:val="Luettelokappale"/>
      </w:pPr>
      <w:proofErr w:type="spellStart"/>
      <w:r>
        <w:t>Huom</w:t>
      </w:r>
      <w:proofErr w:type="spellEnd"/>
      <w:r>
        <w:t xml:space="preserve">! </w:t>
      </w:r>
      <w:proofErr w:type="spellStart"/>
      <w:r>
        <w:t>Proclaim</w:t>
      </w:r>
      <w:proofErr w:type="spellEnd"/>
      <w:r>
        <w:t xml:space="preserve"> Elite -</w:t>
      </w:r>
      <w:proofErr w:type="spellStart"/>
      <w:r>
        <w:t>kipustimulaattoripotilaat</w:t>
      </w:r>
      <w:proofErr w:type="spellEnd"/>
      <w:r>
        <w:t xml:space="preserve"> kuvataan avohoitotalon röntgenin tai lasten röntgenin magneettilaitteilla (ei päivystysröntgen).</w:t>
      </w:r>
    </w:p>
    <w:p w14:paraId="2A183750" w14:textId="77777777" w:rsidR="00852BD4" w:rsidRPr="0088631F" w:rsidRDefault="00852BD4" w:rsidP="00852BD4"/>
    <w:p w14:paraId="7E0EC96E" w14:textId="77777777" w:rsidR="00852BD4" w:rsidRPr="00392341" w:rsidRDefault="00852BD4" w:rsidP="00852BD4">
      <w:pPr>
        <w:pStyle w:val="Luettelokappale"/>
        <w:numPr>
          <w:ilvl w:val="0"/>
          <w:numId w:val="25"/>
        </w:numPr>
        <w:rPr>
          <w:b/>
        </w:rPr>
      </w:pPr>
      <w:r w:rsidRPr="00392341">
        <w:rPr>
          <w:b/>
        </w:rPr>
        <w:lastRenderedPageBreak/>
        <w:t>Sisä- ja välikorvaimplantti</w:t>
      </w:r>
    </w:p>
    <w:p w14:paraId="18528B35" w14:textId="77777777" w:rsidR="00852BD4" w:rsidRDefault="00852BD4" w:rsidP="00852BD4">
      <w:pPr>
        <w:pStyle w:val="Luettelokappale"/>
      </w:pPr>
      <w:r>
        <w:t xml:space="preserve">Näillä tarkoitetaan elektronisia istutteita (ei kuuloluuproteeseja). </w:t>
      </w:r>
      <w:r w:rsidRPr="0088631F">
        <w:t xml:space="preserve">Jotkin mallit sallivat magneettikuvauksen valmistajan ohjeita seuraten. Ota yhteys magneettitutkimusten </w:t>
      </w:r>
      <w:r>
        <w:t xml:space="preserve">kontraindikaationumeroon p. 52497. </w:t>
      </w:r>
    </w:p>
    <w:p w14:paraId="412C4612" w14:textId="77777777" w:rsidR="00852BD4" w:rsidRPr="00392341" w:rsidRDefault="00852BD4" w:rsidP="00852BD4">
      <w:pPr>
        <w:pStyle w:val="Luettelokappale"/>
        <w:numPr>
          <w:ilvl w:val="0"/>
          <w:numId w:val="25"/>
        </w:numPr>
        <w:rPr>
          <w:b/>
        </w:rPr>
      </w:pPr>
      <w:r w:rsidRPr="00392341">
        <w:rPr>
          <w:b/>
        </w:rPr>
        <w:t>Kehonsisäiset valvontalaitteet</w:t>
      </w:r>
    </w:p>
    <w:p w14:paraId="5A88F67B" w14:textId="77777777" w:rsidR="00852BD4" w:rsidRDefault="00852BD4" w:rsidP="00852BD4">
      <w:pPr>
        <w:pStyle w:val="Luettelokappale"/>
      </w:pPr>
      <w:r w:rsidRPr="0088631F">
        <w:t>Pääsääntöisesti valvontalaitteet tul</w:t>
      </w:r>
      <w:r>
        <w:t>ee</w:t>
      </w:r>
      <w:r w:rsidRPr="0088631F">
        <w:t xml:space="preserve"> poistaa ennen magneettitutkimusta. </w:t>
      </w:r>
    </w:p>
    <w:p w14:paraId="5364B3A2" w14:textId="77777777" w:rsidR="00852BD4" w:rsidRDefault="00852BD4" w:rsidP="00852BD4">
      <w:pPr>
        <w:pStyle w:val="Luettelokappale"/>
      </w:pPr>
      <w:r w:rsidRPr="00C06F49">
        <w:rPr>
          <w:i/>
        </w:rPr>
        <w:t>Rytmivalvurit</w:t>
      </w:r>
      <w:r>
        <w:t>:</w:t>
      </w:r>
      <w:r w:rsidRPr="0088631F">
        <w:t xml:space="preserve"> eivät </w:t>
      </w:r>
      <w:r>
        <w:t xml:space="preserve">yleensä </w:t>
      </w:r>
      <w:r w:rsidRPr="0088631F">
        <w:t xml:space="preserve">ole este tutkimukselle. </w:t>
      </w:r>
    </w:p>
    <w:p w14:paraId="594C3DB8" w14:textId="77777777" w:rsidR="00852BD4" w:rsidRDefault="00852BD4" w:rsidP="00852BD4">
      <w:pPr>
        <w:pStyle w:val="Luettelokappale"/>
      </w:pPr>
      <w:r w:rsidRPr="003C2B73">
        <w:rPr>
          <w:i/>
        </w:rPr>
        <w:t>Aivopaineen mittarit</w:t>
      </w:r>
      <w:r>
        <w:t xml:space="preserve">: </w:t>
      </w:r>
      <w:r w:rsidRPr="0088631F">
        <w:t xml:space="preserve">Yleisimpien aivopaineen mittareiden anturia ei tarvitse poistaa, mutta varsinainen mittari on irrotettava anturista ja johto on kiinnitettävä valmistajan ohjeen mukaisesti. Valvontalaitteiden kuvattavuus on varmistettava etukäteen. </w:t>
      </w:r>
    </w:p>
    <w:p w14:paraId="5CE89CF3" w14:textId="77777777" w:rsidR="00852BD4" w:rsidRPr="0088631F" w:rsidRDefault="00852BD4" w:rsidP="00852BD4">
      <w:pPr>
        <w:pStyle w:val="Luettelokappale"/>
      </w:pPr>
      <w:r w:rsidRPr="00812B2B">
        <w:rPr>
          <w:i/>
        </w:rPr>
        <w:t>Endoskooppinen kapselikamera</w:t>
      </w:r>
      <w:r w:rsidRPr="0088631F">
        <w:t xml:space="preserve"> </w:t>
      </w:r>
      <w:r>
        <w:t>e</w:t>
      </w:r>
      <w:r w:rsidRPr="0088631F">
        <w:t>limistössä on este tutkimukselle.</w:t>
      </w:r>
    </w:p>
    <w:p w14:paraId="62D9FFB3" w14:textId="77777777" w:rsidR="00852BD4" w:rsidRPr="0088631F" w:rsidRDefault="00852BD4" w:rsidP="00852BD4">
      <w:pPr>
        <w:spacing w:line="120" w:lineRule="auto"/>
      </w:pPr>
    </w:p>
    <w:p w14:paraId="603365AB" w14:textId="77777777" w:rsidR="00852BD4" w:rsidRDefault="00852BD4" w:rsidP="00852BD4">
      <w:pPr>
        <w:pStyle w:val="Luettelokappale"/>
      </w:pPr>
      <w:r w:rsidRPr="0088631F">
        <w:t xml:space="preserve">Valvontalaitteet </w:t>
      </w:r>
      <w:r>
        <w:t>merkitään</w:t>
      </w:r>
      <w:r w:rsidRPr="0088631F">
        <w:t xml:space="preserve"> lähetteeseen Huomioitavaa-kenttään. Päivystys- ja tehohoitopotilaiden kohdalla röntgenhoitaja selvittää valvontalaitteet tutkimuksesta sovittaessa haastattelemalla potilasta hoitavaa henkilökuntaa.</w:t>
      </w:r>
    </w:p>
    <w:p w14:paraId="2ED043B0" w14:textId="77777777" w:rsidR="00852BD4" w:rsidRPr="0088631F" w:rsidRDefault="00852BD4" w:rsidP="00852BD4">
      <w:pPr>
        <w:spacing w:line="120" w:lineRule="auto"/>
      </w:pPr>
    </w:p>
    <w:p w14:paraId="06C1865E" w14:textId="77777777" w:rsidR="00852BD4" w:rsidRPr="00852BD4" w:rsidRDefault="00852BD4" w:rsidP="00852BD4">
      <w:pPr>
        <w:pStyle w:val="Otsikko20"/>
        <w:rPr>
          <w:color w:val="auto"/>
        </w:rPr>
      </w:pPr>
      <w:r w:rsidRPr="00852BD4">
        <w:rPr>
          <w:color w:val="auto"/>
        </w:rPr>
        <w:t>Passiiviset vierasesineet</w:t>
      </w:r>
    </w:p>
    <w:p w14:paraId="494C65F1" w14:textId="77777777" w:rsidR="00852BD4" w:rsidRDefault="00852BD4" w:rsidP="00852BD4">
      <w:r w:rsidRPr="00C044DE">
        <w:t>Passiiviset vierasesineet eivät sisällä elektroniikkaa, mutta saattavat kuitenkin sisältää liikkuvia osia. Pääsääntöisesti passiiviset vierasesineet eivät ole este magneettitutkimukselle, mutta useissa tapauksissa kuvausarvoja ja -tekniikoita joudutaan muuttamaan, ja joissakin tapauksissa tutkimus joudutaan su</w:t>
      </w:r>
      <w:r>
        <w:t>orittamaan tietyllä laitteella.</w:t>
      </w:r>
    </w:p>
    <w:p w14:paraId="12EFA552" w14:textId="77777777" w:rsidR="00852BD4" w:rsidRPr="00C044DE" w:rsidRDefault="00852BD4" w:rsidP="00852BD4">
      <w:pPr>
        <w:spacing w:line="120" w:lineRule="auto"/>
      </w:pPr>
    </w:p>
    <w:p w14:paraId="0EA5FB4E" w14:textId="77777777" w:rsidR="00852BD4" w:rsidRPr="005D5A8D" w:rsidRDefault="00852BD4" w:rsidP="00852BD4">
      <w:pPr>
        <w:pStyle w:val="Luettelokappale"/>
        <w:numPr>
          <w:ilvl w:val="0"/>
          <w:numId w:val="25"/>
        </w:numPr>
        <w:rPr>
          <w:b/>
        </w:rPr>
      </w:pPr>
      <w:r w:rsidRPr="005D5A8D">
        <w:rPr>
          <w:b/>
        </w:rPr>
        <w:t>Stentit</w:t>
      </w:r>
    </w:p>
    <w:p w14:paraId="10A6A1E0" w14:textId="77777777" w:rsidR="00852BD4" w:rsidRPr="0088631F" w:rsidRDefault="00852BD4" w:rsidP="00852BD4">
      <w:pPr>
        <w:pStyle w:val="Luettelokappale"/>
      </w:pPr>
      <w:r w:rsidRPr="0088631F">
        <w:t xml:space="preserve">Uusilla stenteillä ei yleensä ole varoaikaa, tietyin poikkeuksin. Kiireellisissä ja päivystystutkimuksissa kuvattavuus arvioidaan tapauskohtaisesti. </w:t>
      </w:r>
    </w:p>
    <w:p w14:paraId="639CCD3D" w14:textId="77777777" w:rsidR="00852BD4" w:rsidRDefault="00852BD4" w:rsidP="00852BD4"/>
    <w:p w14:paraId="117A8636" w14:textId="77777777" w:rsidR="00852BD4" w:rsidRPr="005D5A8D" w:rsidRDefault="00852BD4" w:rsidP="00852BD4">
      <w:pPr>
        <w:pStyle w:val="Luettelokappale"/>
        <w:numPr>
          <w:ilvl w:val="0"/>
          <w:numId w:val="25"/>
        </w:numPr>
        <w:rPr>
          <w:b/>
        </w:rPr>
      </w:pPr>
      <w:proofErr w:type="spellStart"/>
      <w:r w:rsidRPr="005D5A8D">
        <w:rPr>
          <w:b/>
        </w:rPr>
        <w:t>Shuntit</w:t>
      </w:r>
      <w:proofErr w:type="spellEnd"/>
    </w:p>
    <w:p w14:paraId="247B926C" w14:textId="77777777" w:rsidR="00852BD4" w:rsidRPr="0088631F" w:rsidRDefault="00852BD4" w:rsidP="00852BD4">
      <w:pPr>
        <w:pStyle w:val="Luettelokappale"/>
      </w:pPr>
      <w:r w:rsidRPr="0088631F">
        <w:t xml:space="preserve">Mikäli </w:t>
      </w:r>
      <w:proofErr w:type="spellStart"/>
      <w:r w:rsidRPr="0088631F">
        <w:t>shunttiin</w:t>
      </w:r>
      <w:proofErr w:type="spellEnd"/>
      <w:r w:rsidRPr="0088631F">
        <w:t xml:space="preserve"> liittyy säädettävä läppämekanismi, sen toiminta on tarkastettava tutkimuksen jälkeen. Tätä varten varataan aika neurokirurgian poliklinikalta.</w:t>
      </w:r>
    </w:p>
    <w:p w14:paraId="33ACF3AE" w14:textId="77777777" w:rsidR="00852BD4" w:rsidRPr="0088631F" w:rsidRDefault="00852BD4" w:rsidP="00852BD4"/>
    <w:p w14:paraId="0D0D27C4" w14:textId="77777777" w:rsidR="00852BD4" w:rsidRPr="005D5A8D" w:rsidRDefault="00852BD4" w:rsidP="00852BD4">
      <w:pPr>
        <w:pStyle w:val="Luettelokappale"/>
        <w:numPr>
          <w:ilvl w:val="0"/>
          <w:numId w:val="25"/>
        </w:numPr>
        <w:rPr>
          <w:b/>
        </w:rPr>
      </w:pPr>
      <w:r>
        <w:rPr>
          <w:b/>
        </w:rPr>
        <w:t>Nivelp</w:t>
      </w:r>
      <w:r w:rsidRPr="005D5A8D">
        <w:rPr>
          <w:b/>
        </w:rPr>
        <w:t>roteesit</w:t>
      </w:r>
      <w:r>
        <w:rPr>
          <w:b/>
        </w:rPr>
        <w:t xml:space="preserve"> ja metallilevyt</w:t>
      </w:r>
    </w:p>
    <w:p w14:paraId="4CBB3D9A" w14:textId="77777777" w:rsidR="00852BD4" w:rsidRDefault="00852BD4" w:rsidP="00852BD4">
      <w:pPr>
        <w:ind w:left="720"/>
      </w:pPr>
      <w:r w:rsidRPr="009F1D7B">
        <w:t xml:space="preserve">Proteesin </w:t>
      </w:r>
      <w:r>
        <w:t>sijainti</w:t>
      </w:r>
      <w:r w:rsidRPr="009F1D7B">
        <w:t xml:space="preserve"> </w:t>
      </w:r>
      <w:r>
        <w:t xml:space="preserve">on </w:t>
      </w:r>
      <w:r w:rsidRPr="009F1D7B">
        <w:t xml:space="preserve">mainittava röntgenlähetteessä. </w:t>
      </w:r>
      <w:r>
        <w:t>Mikäli kuvattavalla alueella on metallia, tutkimusta ei voida suorittaa 3T magneetissa (ajanvaraus laitteille RMRI7 tai K116).</w:t>
      </w:r>
    </w:p>
    <w:p w14:paraId="46372E03" w14:textId="77777777" w:rsidR="00852BD4" w:rsidRDefault="00852BD4" w:rsidP="00852BD4">
      <w:pPr>
        <w:ind w:left="720"/>
      </w:pPr>
    </w:p>
    <w:p w14:paraId="4DED069A" w14:textId="77777777" w:rsidR="00852BD4" w:rsidRPr="005D5A8D" w:rsidRDefault="00852BD4" w:rsidP="00852BD4">
      <w:pPr>
        <w:pStyle w:val="Luettelokappale"/>
        <w:numPr>
          <w:ilvl w:val="0"/>
          <w:numId w:val="25"/>
        </w:numPr>
        <w:rPr>
          <w:b/>
        </w:rPr>
      </w:pPr>
      <w:r w:rsidRPr="005D5A8D">
        <w:rPr>
          <w:b/>
        </w:rPr>
        <w:t>Tuntemattomat passiiviset vierasesineet</w:t>
      </w:r>
    </w:p>
    <w:p w14:paraId="19230FCC" w14:textId="77777777" w:rsidR="00852BD4" w:rsidRDefault="00852BD4" w:rsidP="00852BD4">
      <w:pPr>
        <w:pStyle w:val="Luettelokappale"/>
      </w:pPr>
      <w:r w:rsidRPr="0088631F">
        <w:t>Röntgenlähetteessä tulee näkyä vierasesineen tyyppi (esim. stentti, läppäproteesi, ei-lääketieteelliset vierasesineet</w:t>
      </w:r>
      <w:r>
        <w:t>,</w:t>
      </w:r>
      <w:r w:rsidRPr="0088631F">
        <w:t xml:space="preserve"> joiden epäillään sisältävän metallia) sekä mahdollisimman tarkka arvio asennusajankohdasta. Kuvattavuus arvioidaan tapauskohtaisesti.</w:t>
      </w:r>
    </w:p>
    <w:p w14:paraId="7121D461" w14:textId="77777777" w:rsidR="00852BD4" w:rsidRPr="00115143" w:rsidRDefault="00852BD4" w:rsidP="00852BD4"/>
    <w:p w14:paraId="79E6CBD7" w14:textId="40E5F17F" w:rsidR="00AA2438" w:rsidRPr="00852BD4" w:rsidRDefault="00AA2438" w:rsidP="00852BD4"/>
    <w:sectPr w:rsidR="00AA2438" w:rsidRPr="00852BD4" w:rsidSect="007E15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61FE" w14:textId="77777777" w:rsidR="0012060B" w:rsidRDefault="0012060B" w:rsidP="00EC0BD0">
      <w:r>
        <w:separator/>
      </w:r>
    </w:p>
  </w:endnote>
  <w:endnote w:type="continuationSeparator" w:id="0">
    <w:p w14:paraId="28452CB1" w14:textId="77777777" w:rsidR="0012060B" w:rsidRDefault="0012060B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E6B8" w14:textId="77777777" w:rsidR="004174AE" w:rsidRDefault="004174A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7CE6598C" w:rsidR="009D2375" w:rsidRPr="00BD1530" w:rsidRDefault="009D2375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r w:rsidR="004D037C">
      <w:rPr>
        <w:szCs w:val="24"/>
      </w:rPr>
      <w:tab/>
    </w:r>
    <w:r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52BD4">
          <w:rPr>
            <w:sz w:val="16"/>
            <w:szCs w:val="16"/>
          </w:rPr>
          <w:t xml:space="preserve">Vierasesineiden huomioiminen magneettitutkimuksissa </w:t>
        </w:r>
        <w:proofErr w:type="spellStart"/>
        <w:r w:rsidR="00852BD4">
          <w:rPr>
            <w:sz w:val="16"/>
            <w:szCs w:val="16"/>
          </w:rPr>
          <w:t>kuv</w:t>
        </w:r>
        <w:proofErr w:type="spellEnd"/>
        <w:r w:rsidR="00852BD4">
          <w:rPr>
            <w:sz w:val="16"/>
            <w:szCs w:val="16"/>
          </w:rPr>
          <w:t xml:space="preserve"> </w:t>
        </w:r>
        <w:proofErr w:type="spellStart"/>
        <w:r w:rsidR="00852BD4">
          <w:rPr>
            <w:sz w:val="16"/>
            <w:szCs w:val="16"/>
          </w:rPr>
          <w:t>til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3220" w14:textId="77777777" w:rsidR="004174AE" w:rsidRDefault="004174A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E6BA" w14:textId="77777777" w:rsidR="0012060B" w:rsidRDefault="0012060B" w:rsidP="00EC0BD0">
      <w:r>
        <w:separator/>
      </w:r>
    </w:p>
  </w:footnote>
  <w:footnote w:type="continuationSeparator" w:id="0">
    <w:p w14:paraId="69BEFAA0" w14:textId="77777777" w:rsidR="0012060B" w:rsidRDefault="0012060B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73FA" w14:textId="77777777" w:rsidR="004174AE" w:rsidRDefault="004174A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08722ED" w:rsidR="00BD1530" w:rsidRPr="004E7FC1" w:rsidRDefault="00852BD4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1-2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2D823EE9" w:rsidR="000631E7" w:rsidRPr="004E7FC1" w:rsidRDefault="00852BD4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27.11.2024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21A5" w14:textId="77777777" w:rsidR="004174AE" w:rsidRDefault="004174A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424E96"/>
    <w:multiLevelType w:val="hybridMultilevel"/>
    <w:tmpl w:val="DFF0B82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FC1655"/>
    <w:multiLevelType w:val="hybridMultilevel"/>
    <w:tmpl w:val="0C06A42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BA4579"/>
    <w:multiLevelType w:val="hybridMultilevel"/>
    <w:tmpl w:val="17F8C32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A5397"/>
    <w:multiLevelType w:val="hybridMultilevel"/>
    <w:tmpl w:val="8B9085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1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7B3CBE"/>
    <w:multiLevelType w:val="hybridMultilevel"/>
    <w:tmpl w:val="2ADA60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153DE"/>
    <w:multiLevelType w:val="hybridMultilevel"/>
    <w:tmpl w:val="4238E8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077629"/>
    <w:multiLevelType w:val="hybridMultilevel"/>
    <w:tmpl w:val="245EA5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051125"/>
    <w:multiLevelType w:val="hybridMultilevel"/>
    <w:tmpl w:val="52F057A2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2" w15:restartNumberingAfterBreak="0">
    <w:nsid w:val="77193E0C"/>
    <w:multiLevelType w:val="hybridMultilevel"/>
    <w:tmpl w:val="01D004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1"/>
  </w:num>
  <w:num w:numId="5" w16cid:durableId="1641032995">
    <w:abstractNumId w:val="0"/>
  </w:num>
  <w:num w:numId="6" w16cid:durableId="2063944667">
    <w:abstractNumId w:val="10"/>
  </w:num>
  <w:num w:numId="7" w16cid:durableId="1862237714">
    <w:abstractNumId w:val="16"/>
  </w:num>
  <w:num w:numId="8" w16cid:durableId="1754813634">
    <w:abstractNumId w:val="16"/>
  </w:num>
  <w:num w:numId="9" w16cid:durableId="1606114846">
    <w:abstractNumId w:val="16"/>
  </w:num>
  <w:num w:numId="10" w16cid:durableId="1477645058">
    <w:abstractNumId w:val="3"/>
  </w:num>
  <w:num w:numId="11" w16cid:durableId="841121598">
    <w:abstractNumId w:val="18"/>
  </w:num>
  <w:num w:numId="12" w16cid:durableId="225991095">
    <w:abstractNumId w:val="11"/>
  </w:num>
  <w:num w:numId="13" w16cid:durableId="70978191">
    <w:abstractNumId w:val="6"/>
  </w:num>
  <w:num w:numId="14" w16cid:durableId="240528770">
    <w:abstractNumId w:val="15"/>
  </w:num>
  <w:num w:numId="15" w16cid:durableId="452208856">
    <w:abstractNumId w:val="17"/>
  </w:num>
  <w:num w:numId="16" w16cid:durableId="1796949018">
    <w:abstractNumId w:val="9"/>
  </w:num>
  <w:num w:numId="17" w16cid:durableId="869757580">
    <w:abstractNumId w:val="5"/>
  </w:num>
  <w:num w:numId="18" w16cid:durableId="1060910325">
    <w:abstractNumId w:val="22"/>
  </w:num>
  <w:num w:numId="19" w16cid:durableId="1507673590">
    <w:abstractNumId w:val="12"/>
  </w:num>
  <w:num w:numId="20" w16cid:durableId="916746218">
    <w:abstractNumId w:val="20"/>
  </w:num>
  <w:num w:numId="21" w16cid:durableId="633100355">
    <w:abstractNumId w:val="4"/>
  </w:num>
  <w:num w:numId="22" w16cid:durableId="1787697847">
    <w:abstractNumId w:val="7"/>
  </w:num>
  <w:num w:numId="23" w16cid:durableId="1460806975">
    <w:abstractNumId w:val="19"/>
  </w:num>
  <w:num w:numId="24" w16cid:durableId="344672852">
    <w:abstractNumId w:val="13"/>
  </w:num>
  <w:num w:numId="25" w16cid:durableId="942372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4AA0"/>
    <w:rsid w:val="00045D9E"/>
    <w:rsid w:val="00046574"/>
    <w:rsid w:val="000565F1"/>
    <w:rsid w:val="000631E7"/>
    <w:rsid w:val="001075B7"/>
    <w:rsid w:val="0010766A"/>
    <w:rsid w:val="0012060B"/>
    <w:rsid w:val="00122EED"/>
    <w:rsid w:val="00131D39"/>
    <w:rsid w:val="001553A0"/>
    <w:rsid w:val="0016272C"/>
    <w:rsid w:val="001750A3"/>
    <w:rsid w:val="001B1F2B"/>
    <w:rsid w:val="001C479F"/>
    <w:rsid w:val="001F50D1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174AE"/>
    <w:rsid w:val="00421679"/>
    <w:rsid w:val="00443B00"/>
    <w:rsid w:val="0046482B"/>
    <w:rsid w:val="00465B19"/>
    <w:rsid w:val="0046680D"/>
    <w:rsid w:val="004A1078"/>
    <w:rsid w:val="004A1303"/>
    <w:rsid w:val="004B08C1"/>
    <w:rsid w:val="004C17CF"/>
    <w:rsid w:val="004D037C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1C2F"/>
    <w:rsid w:val="007C1EBB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2BD4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0CE6"/>
    <w:rsid w:val="00A62472"/>
    <w:rsid w:val="00A76BB7"/>
    <w:rsid w:val="00AA2438"/>
    <w:rsid w:val="00AA4C99"/>
    <w:rsid w:val="00B006AC"/>
    <w:rsid w:val="00B57EDD"/>
    <w:rsid w:val="00B9510A"/>
    <w:rsid w:val="00BA1DC7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A3866"/>
    <w:rsid w:val="00CC64C2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C3259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6482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46482B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46482B"/>
    <w:rPr>
      <w:color w:val="9E4CA9" w:themeColor="followedHyperlink"/>
      <w:u w:val="single"/>
    </w:rPr>
  </w:style>
  <w:style w:type="paragraph" w:customStyle="1" w:styleId="Potsikko">
    <w:name w:val="Pääotsikko"/>
    <w:basedOn w:val="Normaali"/>
    <w:next w:val="Normaali"/>
    <w:qFormat/>
    <w:rsid w:val="004D037C"/>
    <w:pPr>
      <w:spacing w:after="24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270</Value>
      <Value>212</Value>
      <Value>44</Value>
      <Value>1329</Value>
      <Value>42</Value>
      <Value>41</Value>
      <Value>820</Value>
      <Value>2145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i:0#.w|oysnet\lammenev</DisplayName>
        <AccountId>888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  <TermInfo xmlns="http://schemas.microsoft.com/office/infopath/2007/PartnerControls">
          <TermName xmlns="http://schemas.microsoft.com/office/infopath/2007/PartnerControls">Sydänsairauksien yksikkö</TermName>
          <TermId xmlns="http://schemas.microsoft.com/office/infopath/2007/PartnerControls">f0cca02f-e17d-48cf-81ad-1c3b40294d7c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5.8.4 Tutkimusohjeet</TermName>
          <TermId xmlns="http://schemas.microsoft.com/office/infopath/2007/PartnerControls">2d8155d7-dea6-4b8d-8e6f-63e1e94b02b6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i:0#.w|oysnet\jarttiai</DisplayName>
        <AccountId>2530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MUAVRSSTWASF-628417917-652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https://internet.oysnet.ppshp.fi/dokumentit/_layouts/15/DocIdRedir.aspx?ID=MUAVRSSTWASF-628417917-652</Url>
      <Description>MUAVRSSTWASF-628417917-652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C88703-DEEF-4F4A-97FA-1A4ADBC4124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B223E8-2F36-4A06-AB6E-AFA549D0BBB8}"/>
</file>

<file path=customXml/itemProps5.xml><?xml version="1.0" encoding="utf-8"?>
<ds:datastoreItem xmlns:ds="http://schemas.openxmlformats.org/officeDocument/2006/customXml" ds:itemID="{36222A21-BEC7-4AD0-8D5E-562E2195091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4428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Vierasesineiden huomioiminen magneettitutkimuksissa kuv til</vt:lpstr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Vierasesineiden huomioiminen magneettitutkimuksissa kuv til</dc:title>
  <dc:subject/>
  <dc:creator/>
  <cp:keywords/>
  <dc:description/>
  <cp:lastModifiedBy/>
  <cp:revision>1</cp:revision>
  <dcterms:created xsi:type="dcterms:W3CDTF">2024-11-27T10:23:00Z</dcterms:created>
  <dcterms:modified xsi:type="dcterms:W3CDTF">2024-11-27T13:39:00Z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5" name="Order">
    <vt:r8>477200</vt:r8>
  </property>
  <property fmtid="{D5CDD505-2E9C-101B-9397-08002B2CF9AE}" pid="16" name="Kuvantamisen ikäryhmä">
    <vt:lpwstr>886;#Aikuinen|cf8c4afd-4c54-4b39-817d-454341937ee5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_dlc_DocIdItemGuid">
    <vt:lpwstr>b322f8d5-a8f8-4f92-a7ad-d2dfcff4352b</vt:lpwstr>
  </property>
  <property fmtid="{D5CDD505-2E9C-101B-9397-08002B2CF9AE}" pid="21" name="Organisaatiotiedon tarkennus toiminnan mukaan">
    <vt:lpwstr/>
  </property>
  <property fmtid="{D5CDD505-2E9C-101B-9397-08002B2CF9AE}" pid="22" name="Erikoisala">
    <vt:lpwstr>44;#radiologia (PPSHP)|347958ae-6fb2-4668-a725-1f6de5332102</vt:lpwstr>
  </property>
  <property fmtid="{D5CDD505-2E9C-101B-9397-08002B2CF9AE}" pid="23" name="Kuvantamisen ohjeen elinryhmät (sisältötyypin metatieto)">
    <vt:lpwstr/>
  </property>
  <property fmtid="{D5CDD505-2E9C-101B-9397-08002B2CF9AE}" pid="24" name="Kriisiviestintä">
    <vt:lpwstr/>
  </property>
  <property fmtid="{D5CDD505-2E9C-101B-9397-08002B2CF9AE}" pid="25" name="Kuvantamisen ohjeen tutkimusryhmät (sisältötyypin metatieto)">
    <vt:lpwstr>212;#Magneetti|972596c9-3791-4323-b5b8-8476cb406d0d</vt:lpwstr>
  </property>
  <property fmtid="{D5CDD505-2E9C-101B-9397-08002B2CF9AE}" pid="26" name="Toiminnanohjauskäsikirja">
    <vt:lpwstr>2145;#5.8.4 Tutkimusohjeet|2d8155d7-dea6-4b8d-8e6f-63e1e94b02b6</vt:lpwstr>
  </property>
  <property fmtid="{D5CDD505-2E9C-101B-9397-08002B2CF9AE}" pid="27" name="Organisaatiotieto">
    <vt:lpwstr>41;#Kuvantaminen|13fd9652-4cc4-4c00-9faf-49cd9c600ecb</vt:lpwstr>
  </property>
  <property fmtid="{D5CDD505-2E9C-101B-9397-08002B2CF9AE}" pid="28" name="Kuvantamisen tilaaja vai menetelmä">
    <vt:lpwstr>1329;#Tilaajaohje|1239afa4-5392-4d15-bec1-ee71147d5603</vt:lpwstr>
  </property>
  <property fmtid="{D5CDD505-2E9C-101B-9397-08002B2CF9AE}" pid="29" name="Toimenpidekoodit">
    <vt:lpwstr/>
  </property>
  <property fmtid="{D5CDD505-2E9C-101B-9397-08002B2CF9AE}" pid="30" name="Kohde- / työntekijäryhmä">
    <vt:lpwstr>42;#Potilaan hoitoon osallistuva henkilöstö|21074a2b-1b44-417e-9c72-4d731d4c7a78</vt:lpwstr>
  </property>
  <property fmtid="{D5CDD505-2E9C-101B-9397-08002B2CF9AE}" pid="31" name="xd_Signature">
    <vt:bool>false</vt:bool>
  </property>
  <property fmtid="{D5CDD505-2E9C-101B-9397-08002B2CF9AE}" pid="32" name="MEO">
    <vt:lpwstr/>
  </property>
  <property fmtid="{D5CDD505-2E9C-101B-9397-08002B2CF9AE}" pid="33" name="SharedWithUsers">
    <vt:lpwstr/>
  </property>
  <property fmtid="{D5CDD505-2E9C-101B-9397-08002B2CF9AE}" pid="34" name="Kohdeorganisaatio">
    <vt:lpwstr>41;#Kuvantaminen|13fd9652-4cc4-4c00-9faf-49cd9c600ecb;#270;#Sydänsairauksien yksikkö|f0cca02f-e17d-48cf-81ad-1c3b40294d7c</vt:lpwstr>
  </property>
  <property fmtid="{D5CDD505-2E9C-101B-9397-08002B2CF9AE}" pid="35" name="Dokumentti jaetaan myös ekstranetissä">
    <vt:bool>false</vt:bool>
  </property>
  <property fmtid="{D5CDD505-2E9C-101B-9397-08002B2CF9AE}" pid="37" name="TaxKeywordTaxHTField">
    <vt:lpwstr/>
  </property>
</Properties>
</file>